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Kirstyn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Queen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29/03/2005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+447776114818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Bent Road, Hamilton, UK Ham ML3 6QB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ML3 6QB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kirstynqueen@hotmail.com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Mark queen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+447917446254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