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Janasik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michaljanasik@o2.pl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+48602324714 ,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Stanisław Janasik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24.12.2012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Florentyna Janasik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10.12.2014</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Józef Janasik</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24.04.2017</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