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Cristian      Gorini</w:t>
      </w:r>
      <w:bookmarkStart w:name="_Hlk155268537" w:id="0"/>
      <w:bookmarkEnd w:id="0"/>
    </w:p>
    <w:p w:rsidR="00650FD9" w:rsidRDefault="00000000" w14:paraId="1F281D75" w14:textId="77777777">
      <w:pPr>
        <w:pStyle w:val="wStandard"/>
        <w:rPr>
          <w:rFonts w:hint="eastAsia"/>
        </w:rPr>
      </w:pPr>
      <w:r>
        <w:t>Nato il 18/12/1996   numero di telefono     +393476668387</w:t>
      </w:r>
    </w:p>
    <w:p w:rsidR="00650FD9" w:rsidRDefault="00000000" w14:paraId="60FEDBC2" w14:textId="77777777">
      <w:pPr>
        <w:pStyle w:val="wStandard"/>
        <w:rPr>
          <w:rFonts w:hint="eastAsia"/>
        </w:rPr>
      </w:pPr>
      <w:r>
        <w:t>e-mail cesariovanessa93@gmail.com      e residente in Via Caltanissetta, Aprilia, LT, Italia  </w:t>
      </w:r>
    </w:p>
    <w:p w:rsidR="00650FD9" w:rsidRDefault="00000000" w14:paraId="2C417B8B" w14:textId="77777777">
      <w:pPr>
        <w:pStyle w:val="wStandard"/>
        <w:rPr>
          <w:rFonts w:hint="eastAsia"/>
        </w:rPr>
      </w:pPr>
      <w:r>
        <w:t>,Codice Fiscale:    Grncst96t18a341d</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Leomardo  , Nato il 20/11/2022 , </w:t>
      </w:r>
    </w:p>
    <w:p w:rsidR="00650FD9" w:rsidRDefault="00000000" w14:paraId="58EA18EF" w14:textId="77777777">
      <w:pPr>
        <w:pStyle w:val="wP11"/>
        <w:rPr>
          <w:rFonts w:hint="eastAsia"/>
        </w:rPr>
      </w:pPr>
      <w:r>
        <w:t>Luogo di nascita del minore: Aprilia</w:t>
      </w:r>
    </w:p>
    <w:p w:rsidR="00650FD9" w:rsidRDefault="00000000" w14:paraId="27CB63B7" w14:textId="77777777">
      <w:pPr>
        <w:pStyle w:val="wP11"/>
        <w:rPr>
          <w:rFonts w:hint="eastAsia"/>
        </w:rPr>
      </w:pPr>
      <w:r>
        <w:t>Codice fiscale del minore: Grnlrd22s20a341d</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X</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X</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Cristian      Gorini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06/12/2025</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