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Павлин Николов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29.12.2025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