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+359878518703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v.bojkov.1976@abv.bg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Мерилин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