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Camille Vallot,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