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Corey</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Bastarache</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+19055371126</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30/03/1993</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corey.bastarache@hotmail.com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Ana paula becerra</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+16477782246</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30/12/2025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30/12/2025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