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Carlos</w:t>
      </w:r>
      <w:r>
        <w:rPr>
          <w:u w:val="single"/>
        </w:rPr>
        <w:t xml:space="preserve"> </w:t>
      </w:r>
      <w:r w:rsidRPr="009E5F62">
        <w:rPr>
          <w:u w:val="single"/>
        </w:rPr>
        <w:t>Nieto Palomino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Jeremy</w:t>
      </w:r>
      <w:r>
        <w:rPr>
          <w:rFonts w:ascii="Calibri" w:hAnsi="Calibri"/>
          <w:lang w:val="en-US"/>
        </w:rPr>
        <w:t xml:space="preserve">                           </w:t>
      </w:r>
      <w:r>
        <w:t xml:space="preserve">               fecha de nacimiento:</w:t>
      </w:r>
      <w:r>
        <w:rPr>
          <w:lang w:val="bg-BG"/>
        </w:rPr>
        <w:t xml:space="preserve"> </w:t>
      </w:r>
      <w:r>
        <w:rPr>
          <w:lang w:val="en-US"/>
        </w:rPr>
        <w:t>4/11/2014</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Carlos Nieto Palomino</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