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Atanas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Todorov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15.12.1983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+359886058254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atanas.todorov@gmail.com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Ivan Todorov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Lea Todorova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27.12.2011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Radian Todorova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16.10.2015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