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Oslowski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rafaloslowski@gmail.com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+48531210884 ,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oslowski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15.07.2013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Kornel oslowski</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14.01.2022</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Tymoteusz oslowski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07.09.2015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Bruno oslowski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20.12.2018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