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paulinamozga@wp.pl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+48664988429 ,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Bednarek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Bednarek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24.04.2012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Rozalia Bednarek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05.08.2019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