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Kocinska-siewiera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kocinska.zaneta@wp.pl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+48512329221 ,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Siewiera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Natan Siewiera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