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+359882718422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gabi.gench@gmail.com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Алегзандър Пейнтър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Вивана Алегзандър Пейнтър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