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Емилия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Денкова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22.7.1974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+359886592029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genkovaemilia103@gmail.com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Емилиян Илиев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14.10.2010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Йордан Илиев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14.10.2010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