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Górski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tgorski75@wp.pl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+48606214521 ,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Julia Kowalczyk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12.04.2013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Hanna Górska</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09.10.2013</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Julia Masirek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30.06.2013</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Lena Kochańska</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03.12.2013</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