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tstolinski@onet.eu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+48694450884 ,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Wijata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Kacper Stoliński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11.08.2013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Stoliński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Stoliński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07.01.2010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