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Десислава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Колчева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d.m.samuilova@gmail.com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+359885166724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24.2.1986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Лора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22.11.2022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