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Диляна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Илиева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dilyana_vasileva@abv.bg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+359878251753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9.5.1987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Атанас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21.6.2015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Тихомир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21.9.2015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