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Lovro Marušić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