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pilarska-jedrzejczak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mag.pilarska@gmail.com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+48508574444 ,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Marianna Jedrzejczak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Małgorzata Jędrzejczak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26.08.2016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Michalina Jędrzejczak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03.11.2021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