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Stencel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stencelkatarzyna5@gmail.com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+48663801247 ,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Stencel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Henio Stencel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31.08.2019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Gabrysia Zdzienicka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23.02.2014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