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Viktoriq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Peneva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8.11.1995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+359883441164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vikito9555@gmail.com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Elian Todorov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17.12.2018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Mihail Jordanov Ivanov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1.8.2017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