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+359882548075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polinarabcheva@abv.bg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Dara Rabcheva Pilar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Stela Rabcheva Pilar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Samuil Ganchev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18.12.2017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