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Явор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Недялков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2.10.1994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+359883372056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qvkata94@gmail.com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Яворов Недялков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Карина Яворова Недялков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28.12.2023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