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Młynarczyk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mms.swim@o2.pl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+48508814810 ,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Carmen Młynarczyk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Maja Pawłowska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08.12.2015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Mija Młynarczyk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Tristan Młynarczyk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26.04.2022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