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Valentina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Popova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v.popova@vodstroy.bg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+359888459635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5.2.1981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Atanas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5.3.2016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Aleksandra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26.4.2018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