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Bozhidar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Bukov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bojidarbukov@gmail.com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+359888399907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3.11.1999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