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Рашков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3.8.1976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+3590885045791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megajorko@gmail.com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