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Drutowska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anetadrutowska89@gmail.com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+48516246390 ,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Hana Wasilewska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Alicja Kowalska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01.01.2007</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Klara Wtorek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01.01.2007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Gabrysia Grabowska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01.01.2007</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Klara Karczewska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01.01.2007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Emilia Grabowska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01.01.2007</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