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Валентина Мазнев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+359883446620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maznevvalentina@gmail.com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1.10.1992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Мазнев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21.8.2017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Йордан Мазнев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3.5.2019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