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Piotrowski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mario.piotrowski@gmail.com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+48793902860 ,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Milosz Piotrowski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01.06.2015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Julian Staszkiewicz</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19.10.2014</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Jedrzej Kasprzak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11.02.2014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Natan Nowak</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08.08.2014</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Mateusz Miekinia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18.04.2015</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Igor Zygmunt</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29.06.2015</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