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+359877500820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antonina-88@abv.bg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Vasil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Svetoslav Todorov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