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Brokos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ciesielskasylwia26@gmail.com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+48505481461 ,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Ines Brokos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11.12.2012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Wiktoria Wackowska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08.10.2012</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Inga Brokos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07.03.2020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Asia Maslanka</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23.08.2012</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Malina Urbanska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11.10.2020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