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Witczak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pawel.witczak@onet.eu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+48538107799 ,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Witczak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Joanna Ryfa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