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Hut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adam2303@o2.pl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+48660719596 ,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Mikolaj Hut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 Hut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16.11.2015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Filip Hut</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08.05.2010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