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Силвия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НЕСТОРОВА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silvia.nestorova@abv.bg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+359896200178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10.5.1988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Борис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5.5.2015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18.4.2015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