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Arnau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Terribas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53297143W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23/10/1991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Llorenç de Montgai,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+34622558177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arnau.terribas@gmail.com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Arnau Terribas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