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Jordan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Terziyski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+359895060666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terziyski.jordan@gmail.com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Terziyski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David Terziyski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