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Ventsislav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Simetchiev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+4917621775250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v.simetchiev@gmail.com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Симчетчиев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 Симетчиев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21.8.2020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