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Matias Alberto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Uranga Rodriguez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+351915208239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24/09/2003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333953517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urangamatias@gmail.com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1000-123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Matias Alberto Uranga Rodriguez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