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Czernielewska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m-czernielewska@wp.pl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+48731888266 ,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Czernielewski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Wojtek Kompa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06.11.2013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Czernielewski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Jakub Turek</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29.08.2013</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Filip Czernielewski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24.09.2019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