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+393420082163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nadin1979@abv.bg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