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ela54321@interia.pl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+48668910902 ,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Hibner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Alex Sokolowski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10.02.2019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Nela Hibner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07.03.2016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Tymotwusz Hibner</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30.12.2020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