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2025-12-26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Allyn Alda</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