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Szubert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dm123@o2.pl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+48602208980 ,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Świtalski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Jan Topolski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18.10.2015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Maksymilian Galla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Leon Gaułdynek</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08.08.2015</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Maksymilian Musiałek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19.10.2012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Piotr Pawęta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09.02.2015</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