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Szumicka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szumik3@op.pl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+48601068562 ,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12.12.2025</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