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Valentyna</w:t>
      </w:r>
      <w:r w:rsidR="00654157">
        <w:t xml:space="preserve">  Bondarenko</w:t>
      </w:r>
    </w:p>
    <w:p w:rsidR="00BF39AF" w:rsidP="00BF39AF" w:rsidRDefault="00BF39AF" w14:paraId="479690CB" w14:textId="032E409D">
      <w:r>
        <w:t>DNI:</w:t>
      </w:r>
      <w:r w:rsidR="00390A65">
        <w:t xml:space="preserve"> </w:t>
      </w:r>
      <w:r w:rsidRPr="001F3272" w:rsidR="001F3272">
        <w:t>33210</w:t>
      </w:r>
    </w:p>
    <w:p w:rsidR="00BF39AF" w:rsidP="00BF39AF" w:rsidRDefault="00BF39AF" w14:paraId="763D926F" w14:textId="4BA111E8">
      <w:r>
        <w:t>FECHA DE NACIMIENTO:</w:t>
      </w:r>
      <w:r w:rsidR="001F3272">
        <w:t xml:space="preserve">  11/01/1992</w:t>
      </w:r>
    </w:p>
    <w:p w:rsidR="00BF39AF" w:rsidP="00BF39AF" w:rsidRDefault="00BF39AF" w14:paraId="3327B299" w14:textId="56171983">
      <w:r>
        <w:t>CORREO ELECTRONICO:</w:t>
      </w:r>
      <w:r w:rsidR="001F3272">
        <w:t xml:space="preserve">   valia.ucrania@gmail.com</w:t>
      </w:r>
    </w:p>
    <w:p w:rsidR="00BF39AF" w:rsidP="00BF39AF" w:rsidRDefault="00BF39AF" w14:paraId="14FB5E3E" w14:textId="2084D67E">
      <w:r>
        <w:t>TELEFONO:</w:t>
      </w:r>
      <w:r w:rsidR="001F3272">
        <w:t xml:space="preserve">  </w:t>
      </w:r>
      <w:r w:rsidR="00654157">
        <w:t>+34641814746</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Valentyna  Bondarenko</w:t>
      </w:r>
    </w:p>
    <w:p w:rsidR="00BF39AF" w:rsidP="00BF39AF" w:rsidRDefault="00BF39AF" w14:paraId="6F669ECC" w14:textId="7592AE9C">
      <w:r>
        <w:t>DNI:</w:t>
      </w:r>
      <w:r w:rsidR="00285F2E">
        <w:t xml:space="preserve">   33210</w:t>
      </w:r>
    </w:p>
    <w:p w:rsidR="00BF39AF" w:rsidP="00BF39AF" w:rsidRDefault="00BF39AF" w14:paraId="4EE6FD68" w14:textId="574E07A5">
      <w:r>
        <w:t>FECHA DE NACIMIENTO:</w:t>
      </w:r>
      <w:r w:rsidR="00AA312A">
        <w:t xml:space="preserve">  11/01/1992</w:t>
      </w:r>
    </w:p>
    <w:p w:rsidR="00BF39AF" w:rsidP="00BF39AF" w:rsidRDefault="00BF39AF" w14:paraId="0E945E05" w14:textId="60EB7331">
      <w:r>
        <w:t>CORREO ELECTRONICO:</w:t>
      </w:r>
      <w:r w:rsidR="007C13C5">
        <w:t xml:space="preserve">   </w:t>
      </w:r>
      <w:r w:rsidR="001F641F">
        <w:t>valia.ucrania@gmail.com</w:t>
      </w:r>
    </w:p>
    <w:p w:rsidR="00BF39AF" w:rsidP="00BF39AF" w:rsidRDefault="00BF39AF" w14:paraId="6CE7941F" w14:textId="27E09EE3">
      <w:r>
        <w:t>TELEFONO:</w:t>
      </w:r>
      <w:r w:rsidR="001F641F">
        <w:t xml:space="preserve">  +34641814746</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