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Тенчо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Димитров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tenchodimitrovv@gmail.com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+359899806536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3.6.1996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