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Laurent</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Kintzelé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+352691568949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11/02/1990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TPURQO269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kintz_l@hotmail.com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1638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09/12/2025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Laurent Kintzelé</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