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AnaSofia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Bernal</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25/9/1999</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Sant Joan de Vilatorrada,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+34613676249</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sophiebn90@gmail.com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10/12/2025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AnaSofia Bernal</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